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Literature, Religion, and </w:t>
      </w:r>
      <w:proofErr w:type="spellStart"/>
      <w:r>
        <w:rPr>
          <w:rFonts w:ascii="Times New Roman" w:hAnsi="Times New Roman" w:cs="Times New Roman"/>
          <w:sz w:val="24"/>
          <w:szCs w:val="24"/>
        </w:rPr>
        <w:t>Postsecular</w:t>
      </w:r>
      <w:proofErr w:type="spellEnd"/>
      <w:r>
        <w:rPr>
          <w:rFonts w:ascii="Times New Roman" w:hAnsi="Times New Roman" w:cs="Times New Roman"/>
          <w:sz w:val="24"/>
          <w:szCs w:val="24"/>
        </w:rPr>
        <w:t xml:space="preserve"> Studies</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Lori Branch, Series Editor</w:t>
      </w:r>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Literature, Religion, and </w:t>
      </w:r>
      <w:proofErr w:type="spellStart"/>
      <w:r>
        <w:rPr>
          <w:rFonts w:ascii="Times New Roman" w:hAnsi="Times New Roman" w:cs="Times New Roman"/>
          <w:sz w:val="24"/>
          <w:szCs w:val="24"/>
        </w:rPr>
        <w:t>Postsecular</w:t>
      </w:r>
      <w:proofErr w:type="spellEnd"/>
      <w:r>
        <w:rPr>
          <w:rFonts w:ascii="Times New Roman" w:hAnsi="Times New Roman" w:cs="Times New Roman"/>
          <w:sz w:val="24"/>
          <w:szCs w:val="24"/>
        </w:rPr>
        <w:t xml:space="preserve"> Studies publishes scholarship on the influence of religion on literature and of literature on religion from the sixteenth century onward. Books in the series include studies of religious rhetoric or allegory; of the secularization of religion, ritual, and religious life; and of the emerging identity of </w:t>
      </w:r>
      <w:proofErr w:type="spellStart"/>
      <w:r>
        <w:rPr>
          <w:rFonts w:ascii="Times New Roman" w:hAnsi="Times New Roman" w:cs="Times New Roman"/>
          <w:sz w:val="24"/>
          <w:szCs w:val="24"/>
        </w:rPr>
        <w:t>postsecular</w:t>
      </w:r>
      <w:proofErr w:type="spellEnd"/>
      <w:r>
        <w:rPr>
          <w:rFonts w:ascii="Times New Roman" w:hAnsi="Times New Roman" w:cs="Times New Roman"/>
          <w:sz w:val="24"/>
          <w:szCs w:val="24"/>
        </w:rPr>
        <w:t xml:space="preserve"> studies and literary criticism.</w:t>
      </w:r>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The Religion of Empire: Political Theology in Blake’s Prophetic Symbolism</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G.A. Rosso</w:t>
      </w:r>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Clashing Convictions: Science and Religion in American Fiction</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Albert H. </w:t>
      </w:r>
      <w:proofErr w:type="spellStart"/>
      <w:r>
        <w:rPr>
          <w:rFonts w:ascii="Times New Roman" w:hAnsi="Times New Roman" w:cs="Times New Roman"/>
          <w:sz w:val="24"/>
          <w:szCs w:val="24"/>
        </w:rPr>
        <w:t>Tricomi</w:t>
      </w:r>
      <w:proofErr w:type="spellEnd"/>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Female Piety and the Invention of American Puritanism</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w:t>
      </w:r>
      <w:proofErr w:type="spellStart"/>
      <w:r>
        <w:rPr>
          <w:rFonts w:ascii="Times New Roman" w:hAnsi="Times New Roman" w:cs="Times New Roman"/>
          <w:sz w:val="24"/>
          <w:szCs w:val="24"/>
        </w:rPr>
        <w:t>Traister</w:t>
      </w:r>
      <w:proofErr w:type="spellEnd"/>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Secular Scriptures: Modern Theological Poetics in the Wake of Dante</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William Franke</w:t>
      </w:r>
    </w:p>
    <w:p w:rsidR="00C40ED6" w:rsidRDefault="00C40ED6" w:rsidP="00C40ED6">
      <w:pPr>
        <w:spacing w:after="0" w:line="240" w:lineRule="auto"/>
        <w:rPr>
          <w:rFonts w:ascii="Times New Roman" w:hAnsi="Times New Roman" w:cs="Times New Roman"/>
          <w:sz w:val="24"/>
          <w:szCs w:val="24"/>
        </w:rPr>
      </w:pP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Imagined Spiritual Communities in Britain’s Age of Print</w:t>
      </w:r>
    </w:p>
    <w:p w:rsidR="00C40ED6" w:rsidRDefault="00764EB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Joshua King</w:t>
      </w:r>
    </w:p>
    <w:p w:rsidR="00C40ED6" w:rsidRDefault="00C40ED6" w:rsidP="00C40ED6">
      <w:pPr>
        <w:spacing w:after="0" w:line="240" w:lineRule="auto"/>
        <w:rPr>
          <w:rFonts w:ascii="Times New Roman" w:hAnsi="Times New Roman" w:cs="Times New Roman"/>
          <w:sz w:val="24"/>
          <w:szCs w:val="24"/>
        </w:rPr>
      </w:pP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Puritanism and Modernist Novels: From Moral Character to the Ethical Self</w:t>
      </w: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Lynne W. Hinojosa</w:t>
      </w:r>
    </w:p>
    <w:p w:rsidR="00C40ED6" w:rsidRDefault="00C40ED6" w:rsidP="00C40ED6">
      <w:pPr>
        <w:spacing w:after="0" w:line="240" w:lineRule="auto"/>
        <w:rPr>
          <w:rFonts w:ascii="Times New Roman" w:hAnsi="Times New Roman" w:cs="Times New Roman"/>
          <w:sz w:val="24"/>
          <w:szCs w:val="24"/>
        </w:rPr>
      </w:pP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Conspicuous Bodies: Provincial Belief and the Making of Joyce and Rushdie</w:t>
      </w: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Jean Kane</w:t>
      </w:r>
    </w:p>
    <w:p w:rsidR="00C40ED6" w:rsidRDefault="00C40ED6" w:rsidP="00C40ED6">
      <w:pPr>
        <w:spacing w:after="0" w:line="240" w:lineRule="auto"/>
        <w:rPr>
          <w:rFonts w:ascii="Times New Roman" w:hAnsi="Times New Roman" w:cs="Times New Roman"/>
          <w:sz w:val="24"/>
          <w:szCs w:val="24"/>
        </w:rPr>
      </w:pP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Victorian Sacrifice: Ethics and Economics in Mid-Century Novels</w:t>
      </w:r>
    </w:p>
    <w:p w:rsidR="00C40ED6" w:rsidRDefault="00EF120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Ilana M. Blumberg</w:t>
      </w:r>
    </w:p>
    <w:p w:rsidR="00EF1205" w:rsidRDefault="00EF1205" w:rsidP="00C40ED6">
      <w:pPr>
        <w:spacing w:after="0" w:line="240" w:lineRule="auto"/>
        <w:rPr>
          <w:rFonts w:ascii="Times New Roman" w:hAnsi="Times New Roman" w:cs="Times New Roman"/>
          <w:sz w:val="24"/>
          <w:szCs w:val="24"/>
        </w:rPr>
      </w:pPr>
    </w:p>
    <w:p w:rsidR="00EF1205" w:rsidRDefault="00EF1205"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Lake Methodism: Polite Literature and Popular Religion in England, 1780-1830</w:t>
      </w:r>
    </w:p>
    <w:p w:rsidR="00EF1205" w:rsidRDefault="00EF120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Jasper </w:t>
      </w:r>
      <w:proofErr w:type="spellStart"/>
      <w:r>
        <w:rPr>
          <w:rFonts w:ascii="Times New Roman" w:hAnsi="Times New Roman" w:cs="Times New Roman"/>
          <w:sz w:val="24"/>
          <w:szCs w:val="24"/>
        </w:rPr>
        <w:t>Cragwall</w:t>
      </w:r>
      <w:proofErr w:type="spellEnd"/>
    </w:p>
    <w:p w:rsidR="00EF1205" w:rsidRDefault="00EF1205" w:rsidP="00C40ED6">
      <w:pPr>
        <w:spacing w:after="0" w:line="240" w:lineRule="auto"/>
        <w:rPr>
          <w:rFonts w:ascii="Times New Roman" w:hAnsi="Times New Roman" w:cs="Times New Roman"/>
          <w:sz w:val="24"/>
          <w:szCs w:val="24"/>
        </w:rPr>
      </w:pPr>
    </w:p>
    <w:p w:rsidR="00EF1205" w:rsidRDefault="00EB22EA"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Hard Sayings: The Rhetoric of Christian Orthodoxy in Late Modern Fiction</w:t>
      </w: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F. </w:t>
      </w:r>
      <w:proofErr w:type="spellStart"/>
      <w:r>
        <w:rPr>
          <w:rFonts w:ascii="Times New Roman" w:hAnsi="Times New Roman" w:cs="Times New Roman"/>
          <w:sz w:val="24"/>
          <w:szCs w:val="24"/>
        </w:rPr>
        <w:t>Haddox</w:t>
      </w:r>
      <w:proofErr w:type="spellEnd"/>
    </w:p>
    <w:p w:rsidR="00EB22EA" w:rsidRDefault="00EB22EA" w:rsidP="00C40ED6">
      <w:pPr>
        <w:spacing w:after="0" w:line="240" w:lineRule="auto"/>
        <w:rPr>
          <w:rFonts w:ascii="Times New Roman" w:hAnsi="Times New Roman" w:cs="Times New Roman"/>
          <w:sz w:val="24"/>
          <w:szCs w:val="24"/>
        </w:rPr>
      </w:pP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Preaching and the Rise of the American Novel</w:t>
      </w: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Dawn Coleman</w:t>
      </w:r>
    </w:p>
    <w:p w:rsidR="00EB22EA" w:rsidRDefault="00EB22EA" w:rsidP="00C40ED6">
      <w:pPr>
        <w:spacing w:after="0" w:line="240" w:lineRule="auto"/>
        <w:rPr>
          <w:rFonts w:ascii="Times New Roman" w:hAnsi="Times New Roman" w:cs="Times New Roman"/>
          <w:sz w:val="24"/>
          <w:szCs w:val="24"/>
        </w:rPr>
      </w:pP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Victorian Women Writers, Radical Grandmothers, and the Gendering of God</w:t>
      </w: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Gail Turley Houston</w:t>
      </w:r>
    </w:p>
    <w:p w:rsidR="00EB22EA" w:rsidRDefault="00EB22EA" w:rsidP="00C40ED6">
      <w:pPr>
        <w:spacing w:after="0" w:line="240" w:lineRule="auto"/>
        <w:rPr>
          <w:rFonts w:ascii="Times New Roman" w:hAnsi="Times New Roman" w:cs="Times New Roman"/>
          <w:sz w:val="24"/>
          <w:szCs w:val="24"/>
        </w:rPr>
      </w:pPr>
    </w:p>
    <w:p w:rsid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Apocalypse South: Judgment, Cataclysm, and Resistance in the Regional Imaginary</w:t>
      </w:r>
    </w:p>
    <w:p w:rsidR="00EB22EA" w:rsidRPr="00EB22EA" w:rsidRDefault="00EB22EA"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Anthony Dyer Hoefer</w:t>
      </w:r>
      <w:bookmarkStart w:id="0" w:name="_GoBack"/>
      <w:bookmarkEnd w:id="0"/>
    </w:p>
    <w:sectPr w:rsidR="00EB22EA" w:rsidRPr="00EB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6553FE"/>
    <w:rsid w:val="00764EB8"/>
    <w:rsid w:val="00A51BD8"/>
    <w:rsid w:val="00C40ED6"/>
    <w:rsid w:val="00EB22EA"/>
    <w:rsid w:val="00EF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4</cp:revision>
  <dcterms:created xsi:type="dcterms:W3CDTF">2017-05-19T13:58:00Z</dcterms:created>
  <dcterms:modified xsi:type="dcterms:W3CDTF">2017-05-19T14:41:00Z</dcterms:modified>
</cp:coreProperties>
</file>